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C4" w:rsidRPr="00E65DC4" w:rsidRDefault="00E65DC4" w:rsidP="00E65DC4">
      <w:pPr>
        <w:shd w:val="clear" w:color="auto" w:fill="FFFFFF"/>
        <w:spacing w:after="188" w:line="240" w:lineRule="auto"/>
        <w:textAlignment w:val="baseline"/>
        <w:outlineLvl w:val="0"/>
        <w:rPr>
          <w:rFonts w:ascii="OpenSansBold" w:eastAsia="Times New Roman" w:hAnsi="OpenSansBold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E65DC4">
        <w:rPr>
          <w:rFonts w:ascii="OpenSansBold" w:eastAsia="Times New Roman" w:hAnsi="OpenSansBold" w:cs="Times New Roman"/>
          <w:b/>
          <w:bCs/>
          <w:color w:val="000000"/>
          <w:kern w:val="36"/>
          <w:sz w:val="38"/>
          <w:szCs w:val="38"/>
          <w:lang w:eastAsia="ru-RU"/>
        </w:rPr>
        <w:t>Муниципальный жилой фонд в Новочеркасске оказался убыточным</w:t>
      </w:r>
    </w:p>
    <w:p w:rsidR="00E65DC4" w:rsidRPr="00E65DC4" w:rsidRDefault="00E65DC4" w:rsidP="00E65DC4">
      <w:pPr>
        <w:shd w:val="clear" w:color="auto" w:fill="FFFFFF"/>
        <w:spacing w:after="0" w:line="240" w:lineRule="auto"/>
        <w:textAlignment w:val="baseline"/>
        <w:rPr>
          <w:rFonts w:ascii="OpenSansLightRegular" w:eastAsia="Times New Roman" w:hAnsi="OpenSansLightRegular" w:cs="Times New Roman"/>
          <w:color w:val="000000"/>
          <w:sz w:val="25"/>
          <w:szCs w:val="25"/>
          <w:lang w:eastAsia="ru-RU"/>
        </w:rPr>
      </w:pPr>
      <w:r w:rsidRPr="00E65DC4">
        <w:rPr>
          <w:rFonts w:ascii="OpenSansLightRegular" w:eastAsia="Times New Roman" w:hAnsi="OpenSansLightRegular" w:cs="Times New Roman"/>
          <w:color w:val="000000"/>
          <w:sz w:val="25"/>
          <w:szCs w:val="25"/>
          <w:lang w:eastAsia="ru-RU"/>
        </w:rPr>
        <w:t>Проверку эффективности его использования провела КСП</w:t>
      </w:r>
    </w:p>
    <w:p w:rsidR="00E65DC4" w:rsidRPr="00E65DC4" w:rsidRDefault="00E65DC4" w:rsidP="00E65DC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999999"/>
          <w:sz w:val="20"/>
          <w:szCs w:val="20"/>
          <w:lang w:eastAsia="ru-RU"/>
        </w:rPr>
      </w:pPr>
      <w:r w:rsidRPr="00E65DC4">
        <w:rPr>
          <w:rFonts w:ascii="inherit" w:eastAsia="Times New Roman" w:hAnsi="inherit" w:cs="Times New Roman"/>
          <w:color w:val="999999"/>
          <w:sz w:val="20"/>
          <w:szCs w:val="20"/>
          <w:lang w:eastAsia="ru-RU"/>
        </w:rPr>
        <w:t>15.12.21</w:t>
      </w:r>
    </w:p>
    <w:p w:rsidR="00E65DC4" w:rsidRPr="00E65DC4" w:rsidRDefault="00E65DC4" w:rsidP="00E65DC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16905" cy="3808730"/>
            <wp:effectExtent l="19050" t="0" r="0" b="0"/>
            <wp:docPr id="1" name="Рисунок 1" descr="https://www.ruffnews.ru/static/images/2021/12/15/%D0%BA%D0%BB%D1%8E%D1%87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uffnews.ru/static/images/2021/12/15/%D0%BA%D0%BB%D1%8E%D1%87%D0%B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C4" w:rsidRPr="00E65DC4" w:rsidRDefault="00E65DC4" w:rsidP="00E65DC4">
      <w:pPr>
        <w:pBdr>
          <w:bottom w:val="single" w:sz="4" w:space="4" w:color="D9D9D9"/>
        </w:pBdr>
        <w:shd w:val="clear" w:color="auto" w:fill="FFFFFF"/>
        <w:spacing w:after="125" w:line="240" w:lineRule="auto"/>
        <w:jc w:val="center"/>
        <w:textAlignment w:val="baseline"/>
        <w:rPr>
          <w:rFonts w:ascii="OpenSansItalic" w:eastAsia="Times New Roman" w:hAnsi="OpenSansItalic" w:cs="Times New Roman"/>
          <w:color w:val="000000"/>
          <w:sz w:val="18"/>
          <w:szCs w:val="18"/>
          <w:lang w:eastAsia="ru-RU"/>
        </w:rPr>
      </w:pPr>
      <w:r w:rsidRPr="00E65DC4">
        <w:rPr>
          <w:rFonts w:ascii="OpenSansItalic" w:eastAsia="Times New Roman" w:hAnsi="OpenSansItalic" w:cs="Times New Roman"/>
          <w:color w:val="000000"/>
          <w:sz w:val="18"/>
          <w:szCs w:val="18"/>
          <w:lang w:eastAsia="ru-RU"/>
        </w:rPr>
        <w:t>Фото для иллюстрации vot69.ru</w:t>
      </w:r>
    </w:p>
    <w:p w:rsidR="00E65DC4" w:rsidRPr="00E65DC4" w:rsidRDefault="00E65DC4" w:rsidP="00E65DC4">
      <w:pPr>
        <w:shd w:val="clear" w:color="auto" w:fill="FFFFFF"/>
        <w:spacing w:after="25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E65DC4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Муниципальный жилой фонд Новочеркасска на 1 мая 2021 года включал в себя 1717 жилых помещений. Такие данные приводит контрольно-счётная палата (КСП) города. В ведомстве провели проверку учёта, эффективности использования, содержания, сохранности и администрирования доходов за пользование таким жильём, и выяснили следующее.</w:t>
      </w:r>
      <w:r w:rsidRPr="00E65DC4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br/>
      </w:r>
      <w:r w:rsidRPr="00E65DC4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br/>
        <w:t>Бюджетный эффект от использования муниципального жилищного фонда в Новочеркасске имеет отрицательное значение. Рассчитывается эффект как разница между полученной платой за наём и расходами на содержание и ремонт этих помещений.</w:t>
      </w:r>
      <w:r w:rsidRPr="00E65DC4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br/>
      </w:r>
      <w:r w:rsidRPr="00E65DC4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br/>
        <w:t>Но долги по оплате за наём постоянно растут. На 1 мая доля просроченной дебиторской задолженности составляла 86%.</w:t>
      </w:r>
      <w:r w:rsidRPr="00E65DC4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br/>
        <w:t>При этом, как отмечают в КСП, претензионную работу администрация с должниками ведёт недостаточно хорошо. То есть, доходы в бюджет не поступают, а расходы, напротив, только увеличиваются.</w:t>
      </w:r>
    </w:p>
    <w:p w:rsidR="00E65DC4" w:rsidRPr="00E65DC4" w:rsidRDefault="00E65DC4" w:rsidP="00E65DC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E65DC4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Напомним, что прогнозируемый в 2022 году доход от муниципального жилья составит около </w:t>
      </w:r>
      <w:hyperlink r:id="rId5" w:history="1">
        <w:r w:rsidRPr="00E65DC4">
          <w:rPr>
            <w:rFonts w:ascii="inherit" w:eastAsia="Times New Roman" w:hAnsi="inherit" w:cs="Times New Roman"/>
            <w:color w:val="0000FF"/>
            <w:sz w:val="20"/>
            <w:u w:val="single"/>
            <w:lang w:eastAsia="ru-RU"/>
          </w:rPr>
          <w:t xml:space="preserve">6,3 </w:t>
        </w:r>
        <w:proofErr w:type="spellStart"/>
        <w:proofErr w:type="gramStart"/>
        <w:r w:rsidRPr="00E65DC4">
          <w:rPr>
            <w:rFonts w:ascii="inherit" w:eastAsia="Times New Roman" w:hAnsi="inherit" w:cs="Times New Roman"/>
            <w:color w:val="0000FF"/>
            <w:sz w:val="20"/>
            <w:u w:val="single"/>
            <w:lang w:eastAsia="ru-RU"/>
          </w:rPr>
          <w:t>млн</w:t>
        </w:r>
        <w:proofErr w:type="spellEnd"/>
        <w:proofErr w:type="gramEnd"/>
        <w:r w:rsidRPr="00E65DC4">
          <w:rPr>
            <w:rFonts w:ascii="inherit" w:eastAsia="Times New Roman" w:hAnsi="inherit" w:cs="Times New Roman"/>
            <w:color w:val="0000FF"/>
            <w:sz w:val="20"/>
            <w:u w:val="single"/>
            <w:lang w:eastAsia="ru-RU"/>
          </w:rPr>
          <w:t xml:space="preserve"> рублей</w:t>
        </w:r>
      </w:hyperlink>
      <w:r w:rsidRPr="00E65DC4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. При этом, как ранее озвучивал заместитель главы администрации Сергей </w:t>
      </w:r>
      <w:proofErr w:type="spellStart"/>
      <w:r w:rsidRPr="00E65DC4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Бочан</w:t>
      </w:r>
      <w:proofErr w:type="spellEnd"/>
      <w:r w:rsidRPr="00E65DC4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, его содержание ежегодно обходится в </w:t>
      </w:r>
      <w:hyperlink r:id="rId6" w:history="1">
        <w:r w:rsidRPr="00E65DC4">
          <w:rPr>
            <w:rFonts w:ascii="inherit" w:eastAsia="Times New Roman" w:hAnsi="inherit" w:cs="Times New Roman"/>
            <w:color w:val="0000FF"/>
            <w:sz w:val="20"/>
            <w:u w:val="single"/>
            <w:lang w:eastAsia="ru-RU"/>
          </w:rPr>
          <w:t xml:space="preserve">15 </w:t>
        </w:r>
        <w:proofErr w:type="spellStart"/>
        <w:r w:rsidRPr="00E65DC4">
          <w:rPr>
            <w:rFonts w:ascii="inherit" w:eastAsia="Times New Roman" w:hAnsi="inherit" w:cs="Times New Roman"/>
            <w:color w:val="0000FF"/>
            <w:sz w:val="20"/>
            <w:u w:val="single"/>
            <w:lang w:eastAsia="ru-RU"/>
          </w:rPr>
          <w:t>млн</w:t>
        </w:r>
        <w:proofErr w:type="spellEnd"/>
        <w:r w:rsidRPr="00E65DC4">
          <w:rPr>
            <w:rFonts w:ascii="inherit" w:eastAsia="Times New Roman" w:hAnsi="inherit" w:cs="Times New Roman"/>
            <w:color w:val="0000FF"/>
            <w:sz w:val="20"/>
            <w:u w:val="single"/>
            <w:lang w:eastAsia="ru-RU"/>
          </w:rPr>
          <w:t xml:space="preserve"> рублей</w:t>
        </w:r>
      </w:hyperlink>
      <w:r w:rsidRPr="00E65DC4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.</w:t>
      </w:r>
      <w:r w:rsidRPr="00E65DC4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br/>
      </w:r>
      <w:r w:rsidRPr="00E65DC4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br/>
        <w:t>Кроме того, по данным КСП, за последние три года (до мая 2021 года) инвентаризация имущества муниципального жилищного фонда не проводилась. На некоторые жилые помещения не было зарегистрировано право оперативного управления.</w:t>
      </w:r>
      <w:r w:rsidRPr="00E65DC4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br/>
      </w:r>
      <w:r w:rsidRPr="00E65DC4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br/>
        <w:t xml:space="preserve">В продолжение проверки, нарушения КСП нашла и в использовании денег на текущий ремонт муниципального жилого фонда. Как оказалось, порядок его проведения и </w:t>
      </w:r>
      <w:proofErr w:type="gramStart"/>
      <w:r w:rsidRPr="00E65DC4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контроля за</w:t>
      </w:r>
      <w:proofErr w:type="gramEnd"/>
      <w:r w:rsidRPr="00E65DC4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работами в городе вообще не разработан.</w:t>
      </w:r>
      <w:r w:rsidRPr="00E65DC4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br/>
      </w:r>
      <w:r w:rsidRPr="00E65DC4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br/>
        <w:t xml:space="preserve">Это привело к тому, что во время работ на объектах заменили часть объёмов и видов работ, превышающую максимально допустимый размер изменений (10%). А это уже прямое нарушение федерального закона. </w:t>
      </w:r>
      <w:r w:rsidRPr="00E65DC4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lastRenderedPageBreak/>
        <w:t>Также КСП во время выборочного визуального осмотра установила нарушения по фактически принятым работам.</w:t>
      </w:r>
      <w:r w:rsidRPr="00E65DC4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br/>
      </w:r>
      <w:r w:rsidRPr="00E65DC4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br/>
        <w:t>Отметим, что сократить убытки городского бюджета могла бы приватизация жилищного фонда. Однако её показатели имеют тенденцию к снижению. То есть, приватизировать муниципальное жильё никто не торопится.</w:t>
      </w:r>
    </w:p>
    <w:p w:rsidR="000631B7" w:rsidRDefault="000631B7"/>
    <w:sectPr w:rsidR="000631B7" w:rsidSect="0006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Ligh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5DC4"/>
    <w:rsid w:val="000631B7"/>
    <w:rsid w:val="000953AC"/>
    <w:rsid w:val="002D0F1D"/>
    <w:rsid w:val="006C3CDC"/>
    <w:rsid w:val="00DD280E"/>
    <w:rsid w:val="00E6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B7"/>
  </w:style>
  <w:style w:type="paragraph" w:styleId="1">
    <w:name w:val="heading 1"/>
    <w:basedOn w:val="a"/>
    <w:next w:val="a"/>
    <w:link w:val="10"/>
    <w:uiPriority w:val="9"/>
    <w:qFormat/>
    <w:rsid w:val="002D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"/>
    <w:next w:val="1"/>
    <w:link w:val="a4"/>
    <w:qFormat/>
    <w:rsid w:val="002D0F1D"/>
    <w:pPr>
      <w:keepNext/>
      <w:keepLines/>
      <w:widowControl w:val="0"/>
      <w:spacing w:before="200" w:after="0" w:line="36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ЗАГ Знак"/>
    <w:basedOn w:val="30"/>
    <w:link w:val="a3"/>
    <w:rsid w:val="002D0F1D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0F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E6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65DC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02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7091">
              <w:marLeft w:val="0"/>
              <w:marRight w:val="25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ffnews.ru/novocherkassk/V-Novocherkasske-podschitali-vo-skolko-byudzhetu-obhoditsya-munitsipalnoe-zhile_117697" TargetMode="External"/><Relationship Id="rId5" Type="http://schemas.openxmlformats.org/officeDocument/2006/relationships/hyperlink" Target="https://www.ruffnews.ru/novocherkassk/Sobstvennye-dohody-byudzheta-Novocherkasska-v-2021-godu-uvelichatsya-vsego-na-14_12481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2021-12-17T05:15:00Z</dcterms:created>
  <dcterms:modified xsi:type="dcterms:W3CDTF">2021-12-17T05:16:00Z</dcterms:modified>
</cp:coreProperties>
</file>