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EA8" w:rsidRPr="001B0EA8" w:rsidRDefault="001B0EA8" w:rsidP="001B0EA8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0EA8">
        <w:rPr>
          <w:rFonts w:ascii="Times New Roman" w:hAnsi="Times New Roman" w:cs="Times New Roman"/>
          <w:b/>
          <w:bCs/>
          <w:sz w:val="28"/>
          <w:szCs w:val="28"/>
        </w:rPr>
        <w:t>Информация по результатам внешней проверки годовой бюджетной отчётности главных администраторов бюджетных средств за 2025 год</w:t>
      </w:r>
    </w:p>
    <w:p w:rsidR="001B0EA8" w:rsidRPr="001B0EA8" w:rsidRDefault="001B0EA8" w:rsidP="001B0EA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EA8">
        <w:rPr>
          <w:rFonts w:ascii="Times New Roman" w:hAnsi="Times New Roman" w:cs="Times New Roman"/>
          <w:bCs/>
          <w:sz w:val="28"/>
          <w:szCs w:val="28"/>
        </w:rPr>
        <w:t>В соответствии с Планом работы Контрольно-счётной палаты города Новочеркасска на 2026 год, на основании распоряжения председателя Контрольно-счётной палаты города Новочеркасска проведено контрольное мероприятие «Внешняя проверка годовой бюджетной отчётности главных администраторов бюджетных средств». Камеральная проверка проведена в период с 16.03.2026 по 24.04.2026.</w:t>
      </w:r>
    </w:p>
    <w:p w:rsidR="001B0EA8" w:rsidRPr="001B0EA8" w:rsidRDefault="001B0EA8" w:rsidP="001B0EA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EA8">
        <w:rPr>
          <w:rFonts w:ascii="Times New Roman" w:hAnsi="Times New Roman" w:cs="Times New Roman"/>
          <w:bCs/>
          <w:sz w:val="28"/>
          <w:szCs w:val="28"/>
        </w:rPr>
        <w:t xml:space="preserve">Цель проверки: установление полноты и достоверности годовой бюджетной отчётности ГАБС за 2025 год, её соответствие требованиям нормативно-правовых актов по составу, структуре и содержанию; установление внутренней согласованности показателей форм бюджетной отчётности; анализ исполнения местного бюджета по доходам, расходам, источникам финансирования дефицита бюджета; анализ исполнения муниципальных программ; оценка выполнения утверждённых бюджетных назначений и иных показателей, установленных решением </w:t>
      </w:r>
      <w:proofErr w:type="spellStart"/>
      <w:r w:rsidRPr="001B0EA8">
        <w:rPr>
          <w:rFonts w:ascii="Times New Roman" w:hAnsi="Times New Roman" w:cs="Times New Roman"/>
          <w:bCs/>
          <w:sz w:val="28"/>
          <w:szCs w:val="28"/>
        </w:rPr>
        <w:t>Новочеркасской</w:t>
      </w:r>
      <w:proofErr w:type="spellEnd"/>
      <w:r w:rsidRPr="001B0EA8">
        <w:rPr>
          <w:rFonts w:ascii="Times New Roman" w:hAnsi="Times New Roman" w:cs="Times New Roman"/>
          <w:bCs/>
          <w:sz w:val="28"/>
          <w:szCs w:val="28"/>
        </w:rPr>
        <w:t xml:space="preserve"> городской Думы «О бюджете города Новочеркасска на 2025 год и на плановый период 2026 и 2027 годов» (с изменениями).</w:t>
      </w:r>
    </w:p>
    <w:p w:rsidR="001B0EA8" w:rsidRPr="001B0EA8" w:rsidRDefault="001B0EA8" w:rsidP="001B0EA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EA8">
        <w:rPr>
          <w:rFonts w:ascii="Times New Roman" w:hAnsi="Times New Roman" w:cs="Times New Roman"/>
          <w:bCs/>
          <w:sz w:val="28"/>
          <w:szCs w:val="28"/>
        </w:rPr>
        <w:t>По результатам контрольного мероприятия составлено и подписано 13 актов проверки. Одновременно реализовано экспертно-аналитическое мероприятие по оценке состояния кредиторской задолженности муниципального образования, результаты которого учтены в итоговых актах внешней проверки.</w:t>
      </w:r>
    </w:p>
    <w:p w:rsidR="001B0EA8" w:rsidRPr="001B0EA8" w:rsidRDefault="001B0EA8" w:rsidP="001B0EA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EA8">
        <w:rPr>
          <w:rFonts w:ascii="Times New Roman" w:hAnsi="Times New Roman" w:cs="Times New Roman"/>
          <w:bCs/>
          <w:sz w:val="28"/>
          <w:szCs w:val="28"/>
        </w:rPr>
        <w:t>Основные результаты контрольного мероприятия:</w:t>
      </w:r>
    </w:p>
    <w:p w:rsidR="001B0EA8" w:rsidRPr="001B0EA8" w:rsidRDefault="001B0EA8" w:rsidP="001B0EA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EA8">
        <w:rPr>
          <w:rFonts w:ascii="Times New Roman" w:hAnsi="Times New Roman" w:cs="Times New Roman"/>
          <w:bCs/>
          <w:sz w:val="28"/>
          <w:szCs w:val="28"/>
        </w:rPr>
        <w:t>Бюджетная отчётность представлена всеми ГАБС в установленный срок в составе форм, установленных пунктом 11.1 Инструкции №191н, на бумажном носителе в сброшюрованном и пронумерованном виде с оглавлением и сопроводительным письмом. Вместе с тем не всеми ГАБС перед составлением годовой бюджетной отчётности проведена инвентаризация активов и обязательств в нарушение статьи 11 Федерального закона от 06.12.2011 № 402-ФЗ и пункта 79 приказа Минфина России от 31.12.2016 № 256н.</w:t>
      </w:r>
    </w:p>
    <w:p w:rsidR="001B0EA8" w:rsidRPr="001B0EA8" w:rsidRDefault="001B0EA8" w:rsidP="001B0EA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EA8">
        <w:rPr>
          <w:rFonts w:ascii="Times New Roman" w:hAnsi="Times New Roman" w:cs="Times New Roman"/>
          <w:bCs/>
          <w:sz w:val="28"/>
          <w:szCs w:val="28"/>
        </w:rPr>
        <w:t>Внешней проверкой выявлены нарушения единой методологии бюджетного учёта и отчётности, повлёкшие искажение отдельных показателей форм годовой отчётности, а именно:</w:t>
      </w:r>
    </w:p>
    <w:p w:rsidR="001B0EA8" w:rsidRPr="001B0EA8" w:rsidRDefault="001B0EA8" w:rsidP="001B0EA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EA8">
        <w:rPr>
          <w:rFonts w:ascii="Times New Roman" w:hAnsi="Times New Roman" w:cs="Times New Roman"/>
          <w:bCs/>
          <w:sz w:val="28"/>
          <w:szCs w:val="28"/>
        </w:rPr>
        <w:t xml:space="preserve">— занижение отдельными ГАБС просроченной кредиторской задолженности в Сведениях о дебиторской и кредиторской задолженности (ф. 0503169), а также </w:t>
      </w:r>
      <w:proofErr w:type="spellStart"/>
      <w:r w:rsidRPr="001B0EA8">
        <w:rPr>
          <w:rFonts w:ascii="Times New Roman" w:hAnsi="Times New Roman" w:cs="Times New Roman"/>
          <w:bCs/>
          <w:sz w:val="28"/>
          <w:szCs w:val="28"/>
        </w:rPr>
        <w:t>неотражение</w:t>
      </w:r>
      <w:proofErr w:type="spellEnd"/>
      <w:r w:rsidRPr="001B0EA8">
        <w:rPr>
          <w:rFonts w:ascii="Times New Roman" w:hAnsi="Times New Roman" w:cs="Times New Roman"/>
          <w:bCs/>
          <w:sz w:val="28"/>
          <w:szCs w:val="28"/>
        </w:rPr>
        <w:t xml:space="preserve"> кредиторской задолженности в Балансе (ф. 0503130), в том </w:t>
      </w:r>
      <w:r w:rsidRPr="001B0EA8">
        <w:rPr>
          <w:rFonts w:ascii="Times New Roman" w:hAnsi="Times New Roman" w:cs="Times New Roman"/>
          <w:bCs/>
          <w:sz w:val="28"/>
          <w:szCs w:val="28"/>
        </w:rPr>
        <w:lastRenderedPageBreak/>
        <w:t>числе подведомственными учреждениями, что повлекло искажение ключевых показателей финансового состояния муниципального образования;</w:t>
      </w:r>
    </w:p>
    <w:p w:rsidR="005757C7" w:rsidRDefault="001B0EA8" w:rsidP="001B0EA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EA8">
        <w:rPr>
          <w:rFonts w:ascii="Times New Roman" w:hAnsi="Times New Roman" w:cs="Times New Roman"/>
          <w:bCs/>
          <w:sz w:val="28"/>
          <w:szCs w:val="28"/>
        </w:rPr>
        <w:t>— принятие отдельными ГАБС обязательств сверх доведённых лимитов бюджетных обязательств</w:t>
      </w:r>
      <w:r w:rsidR="005757C7">
        <w:rPr>
          <w:rFonts w:ascii="Times New Roman" w:hAnsi="Times New Roman" w:cs="Times New Roman"/>
          <w:bCs/>
          <w:sz w:val="28"/>
          <w:szCs w:val="28"/>
        </w:rPr>
        <w:t>;</w:t>
      </w:r>
    </w:p>
    <w:p w:rsidR="001B0EA8" w:rsidRPr="005757C7" w:rsidRDefault="001B0EA8" w:rsidP="005757C7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57C7">
        <w:rPr>
          <w:rFonts w:ascii="Times New Roman" w:hAnsi="Times New Roman" w:cs="Times New Roman"/>
          <w:bCs/>
          <w:sz w:val="28"/>
          <w:szCs w:val="28"/>
        </w:rPr>
        <w:t>заключение контрактов по неприоритетным расходам в нарушение ограничений, введённых постановлением Администрации города от 14.11.2025 № 2816, что повлекло образование дополнительной просроченной кредиторской задолженности;</w:t>
      </w:r>
    </w:p>
    <w:p w:rsidR="001B0EA8" w:rsidRPr="001B0EA8" w:rsidRDefault="001B0EA8" w:rsidP="001B0EA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EA8">
        <w:rPr>
          <w:rFonts w:ascii="Times New Roman" w:hAnsi="Times New Roman" w:cs="Times New Roman"/>
          <w:bCs/>
          <w:sz w:val="28"/>
          <w:szCs w:val="28"/>
        </w:rPr>
        <w:t>— несоответствие между данными регистров бюджетного учёта, отчётности и Главной книги (ф. 0504072), а также расхождения между показателями решения о бюджете и данными выписок ТОФК по лимитам бюджетных обязательств;</w:t>
      </w:r>
    </w:p>
    <w:p w:rsidR="001B0EA8" w:rsidRPr="001B0EA8" w:rsidRDefault="001B0EA8" w:rsidP="001B0EA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EA8">
        <w:rPr>
          <w:rFonts w:ascii="Times New Roman" w:hAnsi="Times New Roman" w:cs="Times New Roman"/>
          <w:bCs/>
          <w:sz w:val="28"/>
          <w:szCs w:val="28"/>
        </w:rPr>
        <w:t xml:space="preserve">— </w:t>
      </w:r>
      <w:proofErr w:type="spellStart"/>
      <w:r w:rsidRPr="001B0EA8">
        <w:rPr>
          <w:rFonts w:ascii="Times New Roman" w:hAnsi="Times New Roman" w:cs="Times New Roman"/>
          <w:bCs/>
          <w:sz w:val="28"/>
          <w:szCs w:val="28"/>
        </w:rPr>
        <w:t>неотражение</w:t>
      </w:r>
      <w:proofErr w:type="spellEnd"/>
      <w:r w:rsidRPr="001B0EA8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1B0EA8">
        <w:rPr>
          <w:rFonts w:ascii="Times New Roman" w:hAnsi="Times New Roman" w:cs="Times New Roman"/>
          <w:bCs/>
          <w:sz w:val="28"/>
          <w:szCs w:val="28"/>
        </w:rPr>
        <w:t>забалансовом</w:t>
      </w:r>
      <w:proofErr w:type="spellEnd"/>
      <w:r w:rsidRPr="001B0EA8">
        <w:rPr>
          <w:rFonts w:ascii="Times New Roman" w:hAnsi="Times New Roman" w:cs="Times New Roman"/>
          <w:bCs/>
          <w:sz w:val="28"/>
          <w:szCs w:val="28"/>
        </w:rPr>
        <w:t xml:space="preserve"> учёте подменного фонда светильников уличного освещения, а также данных об инвестициях концессионера. </w:t>
      </w:r>
    </w:p>
    <w:p w:rsidR="001B0EA8" w:rsidRPr="001B0EA8" w:rsidRDefault="005757C7" w:rsidP="001B0EA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Проверкой </w:t>
      </w:r>
      <w:r w:rsidR="001B0EA8" w:rsidRPr="001B0EA8">
        <w:rPr>
          <w:rFonts w:ascii="Times New Roman" w:hAnsi="Times New Roman" w:cs="Times New Roman"/>
          <w:bCs/>
          <w:sz w:val="28"/>
          <w:szCs w:val="28"/>
        </w:rPr>
        <w:t xml:space="preserve">достоверности отдельных показателей годовой бюджетной отчётности </w:t>
      </w:r>
      <w:r>
        <w:rPr>
          <w:rFonts w:ascii="Times New Roman" w:hAnsi="Times New Roman" w:cs="Times New Roman"/>
          <w:bCs/>
          <w:sz w:val="28"/>
          <w:szCs w:val="28"/>
        </w:rPr>
        <w:t>подведомственной сети</w:t>
      </w:r>
      <w:r w:rsidR="001B0EA8" w:rsidRPr="001B0EA8">
        <w:rPr>
          <w:rFonts w:ascii="Times New Roman" w:hAnsi="Times New Roman" w:cs="Times New Roman"/>
          <w:bCs/>
          <w:sz w:val="28"/>
          <w:szCs w:val="28"/>
        </w:rPr>
        <w:t xml:space="preserve"> установлено, что отдельными ГАБС допущено составление консолидированной бюджетной отчётности без учёта показателей бюджетной отчётности подведомственных учреждений, а также включение в отчётность показателей, не подтверждённых регистрами бухгалтерского учёта и первичными учётными документами.</w:t>
      </w:r>
    </w:p>
    <w:p w:rsidR="001B0EA8" w:rsidRPr="001B0EA8" w:rsidRDefault="001B0EA8" w:rsidP="005757C7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EA8">
        <w:rPr>
          <w:rFonts w:ascii="Times New Roman" w:hAnsi="Times New Roman" w:cs="Times New Roman"/>
          <w:bCs/>
          <w:sz w:val="28"/>
          <w:szCs w:val="28"/>
        </w:rPr>
        <w:t>Выявлены системные недостатки при заполнении пояснительной записки (ф. 0503160): не раскрыты причины образования просроченной задолженности, информация о резервах, условных обязательствах и иные существенные сведения; не представлены обязательные таблицы; в ряде документов отсутствуют подписи ответственных лиц.</w:t>
      </w:r>
    </w:p>
    <w:p w:rsidR="001B0EA8" w:rsidRPr="001B0EA8" w:rsidRDefault="001B0EA8" w:rsidP="005757C7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EA8">
        <w:rPr>
          <w:rFonts w:ascii="Times New Roman" w:hAnsi="Times New Roman" w:cs="Times New Roman"/>
          <w:bCs/>
          <w:sz w:val="28"/>
          <w:szCs w:val="28"/>
        </w:rPr>
        <w:t>Отдельными ГАБС в течение 2025 года допускались нарушения требований статьи 179 Бюджетного кодекса Российской Федерации, выразившиеся в несвоевременном приведении муниципальных программ в соответствие с решением о бюджете и уведомлениями об изменении сводной бюджетной росписи.</w:t>
      </w:r>
    </w:p>
    <w:p w:rsidR="001B0EA8" w:rsidRPr="001B0EA8" w:rsidRDefault="001B0EA8" w:rsidP="005757C7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EA8">
        <w:rPr>
          <w:rFonts w:ascii="Times New Roman" w:hAnsi="Times New Roman" w:cs="Times New Roman"/>
          <w:bCs/>
          <w:sz w:val="28"/>
          <w:szCs w:val="28"/>
        </w:rPr>
        <w:t>Внешней проверкой установлены факты несоблюдения принципа эффективности расходования бюджетных средств, установленного статьёй 34 Бюджетного кодекса Российской Федерации, в части направления средств на исполнение судебных актов, уплату административных штрафов и пеней налогового органа, а также непринятия мер по взысканию безнадёжной задолженности.</w:t>
      </w:r>
    </w:p>
    <w:p w:rsidR="001B0EA8" w:rsidRPr="001B0EA8" w:rsidRDefault="001B0EA8" w:rsidP="005757C7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EA8">
        <w:rPr>
          <w:rFonts w:ascii="Times New Roman" w:hAnsi="Times New Roman" w:cs="Times New Roman"/>
          <w:bCs/>
          <w:sz w:val="28"/>
          <w:szCs w:val="28"/>
        </w:rPr>
        <w:lastRenderedPageBreak/>
        <w:t>Анализ данных о вложениях в объекты незавершённого строительства (ф. 0503190) показал, что по состоянию на 01.01.2026 на балансе Департамента строительства и городского развития числится 31 объект, из них ряд объектов, завершённых в 2010–2015 годах. По трём объектам, включённым в Перечень приоритетных проектов Стратегии социально-экономического развития города до 2030 года, строительство приостановлено без проведения обязательной консервации в нарушение пункта 4 статьи 52 Градостроительного кодекса Российской Федерации. Указанное нарушение ранее отражалось в представлении прокуратуры города Новочеркасска и до настоящего времени не устранено.</w:t>
      </w:r>
    </w:p>
    <w:p w:rsidR="005757C7" w:rsidRDefault="001B0EA8" w:rsidP="005757C7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EA8">
        <w:rPr>
          <w:rFonts w:ascii="Times New Roman" w:hAnsi="Times New Roman" w:cs="Times New Roman"/>
          <w:bCs/>
          <w:sz w:val="28"/>
          <w:szCs w:val="28"/>
        </w:rPr>
        <w:t>В ходе контрольного мероприятия часть выявленных нарушений устранена. Вместе с тем нарушения ряда ГАБС полностью не устранены и повлияли на показатели сводной бюджетной отчётности по муниципальному о</w:t>
      </w:r>
      <w:r w:rsidR="00E10682">
        <w:rPr>
          <w:rFonts w:ascii="Times New Roman" w:hAnsi="Times New Roman" w:cs="Times New Roman"/>
          <w:bCs/>
          <w:sz w:val="28"/>
          <w:szCs w:val="28"/>
        </w:rPr>
        <w:t>бразованию «Город Новочеркасск»</w:t>
      </w:r>
      <w:r w:rsidRPr="001B0EA8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1B0EA8" w:rsidRDefault="001B0EA8" w:rsidP="005757C7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1B0EA8">
        <w:rPr>
          <w:rFonts w:ascii="Times New Roman" w:hAnsi="Times New Roman" w:cs="Times New Roman"/>
          <w:bCs/>
          <w:sz w:val="28"/>
          <w:szCs w:val="28"/>
        </w:rPr>
        <w:t>По результатам контрольного мероприятия в адрес ГАБС направлены 10 представлений о необходимости устранения выявленных нарушений, соблюдения требований нормативных правовых актов при формировании бюджетной отчётности, соблюдения принципа эффективности расходования бюджетных средств, активизации работы по сокращению просроченной кредиторской задолженности и объектов незавершённого строительства. В отношении отдельных должностных лиц составлены 3 протокола об административной ответственности в связи с выявленными нарушениями бюджетного законодательства</w:t>
      </w:r>
      <w:r w:rsidR="005757C7">
        <w:rPr>
          <w:rFonts w:ascii="Times New Roman" w:hAnsi="Times New Roman" w:cs="Times New Roman"/>
          <w:bCs/>
          <w:sz w:val="28"/>
          <w:szCs w:val="28"/>
        </w:rPr>
        <w:t>.</w:t>
      </w:r>
    </w:p>
    <w:p w:rsidR="005757C7" w:rsidRPr="001B0EA8" w:rsidRDefault="005757C7" w:rsidP="005757C7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Мероприятие остается на контроле до полного устранения выявленных нарушений.</w:t>
      </w:r>
    </w:p>
    <w:p w:rsidR="0063456A" w:rsidRPr="001B0EA8" w:rsidRDefault="0063456A" w:rsidP="001B0EA8">
      <w:pPr>
        <w:jc w:val="both"/>
      </w:pPr>
    </w:p>
    <w:sectPr w:rsidR="0063456A" w:rsidRPr="001B0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919D9"/>
    <w:multiLevelType w:val="hybridMultilevel"/>
    <w:tmpl w:val="868E7A0A"/>
    <w:lvl w:ilvl="0" w:tplc="EA10280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0C14FDC"/>
    <w:multiLevelType w:val="hybridMultilevel"/>
    <w:tmpl w:val="C3C4EDC8"/>
    <w:lvl w:ilvl="0" w:tplc="17321EE4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EA8"/>
    <w:rsid w:val="000A3EED"/>
    <w:rsid w:val="001B0EA8"/>
    <w:rsid w:val="005757C7"/>
    <w:rsid w:val="0063456A"/>
    <w:rsid w:val="009D7AA3"/>
    <w:rsid w:val="009E0CCB"/>
    <w:rsid w:val="00AD5C9A"/>
    <w:rsid w:val="00B62019"/>
    <w:rsid w:val="00C16CF7"/>
    <w:rsid w:val="00CE71F2"/>
    <w:rsid w:val="00E10682"/>
    <w:rsid w:val="00F4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3798"/>
  <w15:chartTrackingRefBased/>
  <w15:docId w15:val="{47E5AD8C-14F4-48B7-BD9B-B8E6C4BD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0EA8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757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5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57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3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2026-06-02T12:57:00Z</cp:lastPrinted>
  <dcterms:created xsi:type="dcterms:W3CDTF">2026-06-02T12:38:00Z</dcterms:created>
  <dcterms:modified xsi:type="dcterms:W3CDTF">2026-06-22T12:54:00Z</dcterms:modified>
</cp:coreProperties>
</file>